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94"/>
        <w:gridCol w:w="3647"/>
        <w:gridCol w:w="3593"/>
        <w:gridCol w:w="3486"/>
      </w:tblGrid>
      <w:tr w:rsidR="00124B58" w:rsidRPr="00516C74" w:rsidTr="00AE4CF6">
        <w:trPr>
          <w:trHeight w:val="908"/>
        </w:trPr>
        <w:tc>
          <w:tcPr>
            <w:tcW w:w="14220" w:type="dxa"/>
            <w:gridSpan w:val="4"/>
            <w:shd w:val="clear" w:color="auto" w:fill="CCC0D9" w:themeFill="accent4" w:themeFillTint="66"/>
          </w:tcPr>
          <w:p w:rsidR="006D545E" w:rsidRPr="00AE4CF6" w:rsidRDefault="00EC12EA" w:rsidP="00AE4CF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Composante</w:t>
            </w:r>
            <w:r w:rsidR="00124B58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1:</w:t>
            </w:r>
            <w:r w:rsidR="00124B58"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AE4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L’enseignement se fait en français et les instructions se concentrent sur des situations authentique</w:t>
            </w:r>
            <w:r w:rsidR="00227220" w:rsidRPr="00AE4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s de communication</w:t>
            </w:r>
            <w:r w:rsidRPr="00AE4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grâce à un équilibre des 4 domaines</w:t>
            </w:r>
            <w:r w:rsidR="00270C92" w:rsidRPr="00AE4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du curriculum: écouter, parler, lire et écrire</w:t>
            </w:r>
            <w:r w:rsidRPr="00AE4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.</w:t>
            </w:r>
          </w:p>
        </w:tc>
      </w:tr>
      <w:tr w:rsidR="00306C9C" w:rsidRPr="00516C74" w:rsidTr="00AE4CF6">
        <w:trPr>
          <w:trHeight w:val="5120"/>
        </w:trPr>
        <w:tc>
          <w:tcPr>
            <w:tcW w:w="3494" w:type="dxa"/>
            <w:shd w:val="clear" w:color="auto" w:fill="FFFFFF" w:themeFill="background1"/>
          </w:tcPr>
          <w:p w:rsidR="00AE4CF6" w:rsidRDefault="00AE4CF6" w:rsidP="00EC12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EC12EA" w:rsidRPr="00AE4CF6" w:rsidRDefault="00227220" w:rsidP="00EC12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 f</w:t>
            </w:r>
            <w:r w:rsidR="00EC12EA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rançais est la langue d’instruction. Le langage/vocabulaire est présenté  ‘sur demande’ selon les besoins des élèves qui doivent communiquer en tant qu’acteur</w:t>
            </w:r>
            <w:r w:rsidR="00413542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</w:t>
            </w:r>
            <w:r w:rsidR="00EC12EA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sociaux. </w:t>
            </w:r>
          </w:p>
          <w:p w:rsidR="00931E8E" w:rsidRPr="00AE4CF6" w:rsidRDefault="00931E8E" w:rsidP="00EC12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931E8E" w:rsidRPr="00AE4CF6" w:rsidRDefault="00931E8E" w:rsidP="00EC12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C12EA" w:rsidRPr="00AE4CF6" w:rsidRDefault="00EC12EA" w:rsidP="00483D21">
            <w:pPr>
              <w:pStyle w:val="ListParagraph"/>
              <w:ind w:left="9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Default="00EC12EA" w:rsidP="00C26A2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</w:t>
            </w:r>
            <w:r w:rsidR="00270C92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 planification à rebours est utilisée pour planifier des activités et d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es tâches </w:t>
            </w:r>
            <w:r w:rsidR="00270C92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inspirées de la perspective actionnelle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qui permettent aux élèves de développer leurs compétences à éco</w:t>
            </w:r>
            <w:r w:rsidR="00270C92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uter, parler, lire et écrire. La majorité du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temps</w:t>
            </w:r>
            <w:r w:rsidR="00270C92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en salle de classe est consacré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au développement de l’écoute et de l’interaction orale reli</w:t>
            </w:r>
            <w:r w:rsidR="00C26A26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é à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une variété d</w:t>
            </w:r>
            <w:r w:rsidR="00C26A26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 situations authentiques et d’actes de par</w:t>
            </w:r>
            <w:r w:rsidR="009E4DB9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oles.</w:t>
            </w:r>
          </w:p>
          <w:p w:rsidR="005359DE" w:rsidRPr="00AE4CF6" w:rsidRDefault="005359DE" w:rsidP="00C26A2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47" w:type="dxa"/>
            <w:shd w:val="clear" w:color="auto" w:fill="DAEEF3" w:themeFill="accent5" w:themeFillTint="33"/>
          </w:tcPr>
          <w:p w:rsidR="00AE4CF6" w:rsidRDefault="00AE4CF6" w:rsidP="009202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92026B" w:rsidRPr="00AE4CF6" w:rsidRDefault="00227220" w:rsidP="009202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 f</w:t>
            </w:r>
            <w:r w:rsidR="009202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rançais est la langue d’instruction.</w:t>
            </w:r>
            <w:r w:rsidR="0092026B"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 Le Lang</w:t>
            </w:r>
            <w:r w:rsidR="00E11E5E" w:rsidRPr="00AE4CF6">
              <w:rPr>
                <w:rFonts w:ascii="Arial" w:hAnsi="Arial" w:cs="Arial"/>
                <w:sz w:val="20"/>
                <w:szCs w:val="20"/>
                <w:lang w:val="fr-CA"/>
              </w:rPr>
              <w:t>age</w:t>
            </w:r>
            <w:r w:rsidR="0092026B"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/vocabulaire est présenté </w:t>
            </w:r>
            <w:r w:rsidR="009202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surtout pour exprimer des fonctions ou des actes de paroles (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ex </w:t>
            </w:r>
            <w:proofErr w:type="gramStart"/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. :</w:t>
            </w:r>
            <w:proofErr w:type="gramEnd"/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9202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faire une demande d’information) Moins d’importance est attachée à la forme du discours (ex. : utilisation du mode conditionnel)</w:t>
            </w:r>
          </w:p>
          <w:p w:rsidR="00483D21" w:rsidRPr="00AE4CF6" w:rsidRDefault="0092026B" w:rsidP="00931E8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11E5E"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780C77" w:rsidRPr="00AE4CF6" w:rsidRDefault="0092026B" w:rsidP="00931E8E">
            <w:pPr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Le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s activités et les tâches </w:t>
            </w:r>
            <w:r w:rsidR="006738CE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planifiées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permettent aux élèves de développer leurs</w:t>
            </w:r>
            <w:r w:rsidR="00227220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compétences à éc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outer, parler, lire et écrire</w:t>
            </w:r>
            <w:r w:rsidR="006738CE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. 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6738CE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Celles-ci 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son</w:t>
            </w:r>
            <w:r w:rsidR="00227220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t planifié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es</w:t>
            </w:r>
            <w:r w:rsidR="00227220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afin de </w:t>
            </w:r>
            <w:r w:rsidR="006738CE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créer</w:t>
            </w:r>
            <w:r w:rsidR="008706CF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ou simuler des communications</w:t>
            </w:r>
            <w:r w:rsidR="00372545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227220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authentiques</w:t>
            </w:r>
            <w:r w:rsidR="008706CF"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selon l’âge</w:t>
            </w:r>
            <w:r w:rsidRPr="00AE4CF6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et les intérêts des apprenants.</w:t>
            </w:r>
          </w:p>
        </w:tc>
        <w:tc>
          <w:tcPr>
            <w:tcW w:w="3593" w:type="dxa"/>
            <w:shd w:val="clear" w:color="auto" w:fill="B6DDE8" w:themeFill="accent5" w:themeFillTint="66"/>
          </w:tcPr>
          <w:p w:rsidR="00AE4CF6" w:rsidRDefault="00AE4CF6" w:rsidP="00AE4CF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124B58" w:rsidRPr="00AE4CF6" w:rsidRDefault="00227220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 f</w:t>
            </w:r>
            <w:r w:rsidR="009202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rançais est la langue d’instruction. La langue est fréquemment utilisée dans le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cadre de thèmes exploités. (ex </w:t>
            </w:r>
            <w:proofErr w:type="gramStart"/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. :</w:t>
            </w:r>
            <w:proofErr w:type="gramEnd"/>
            <w:r w:rsidR="009202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les vacances.., les saisons…) L’objectif premier est de développer du vocabulaire.</w:t>
            </w:r>
          </w:p>
          <w:p w:rsidR="007B288B" w:rsidRPr="00AE4CF6" w:rsidRDefault="007B288B" w:rsidP="00483D21">
            <w:pPr>
              <w:ind w:left="151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256EF" w:rsidRPr="00AE4CF6" w:rsidRDefault="00E256EF" w:rsidP="00E256EF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931E8E" w:rsidRPr="00AE4CF6" w:rsidRDefault="00931E8E" w:rsidP="009E4DB9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92026B" w:rsidRPr="00AE4CF6" w:rsidRDefault="00E256EF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Les activités et les tâches qui permettent aux élèves de développer leurs compétences à écouter, parler, lire et écrire sont planifiées de façon aléatoire et l</w:t>
            </w:r>
            <w:r w:rsidR="009202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’évaluation portera surtout sur les compétences en lecture et en écriture. Les t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âches </w:t>
            </w:r>
            <w:r w:rsidR="0024762E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planifiées à l’orale contiennent parfois des opportunités/situations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favorisant l’interaction.</w:t>
            </w:r>
          </w:p>
          <w:p w:rsidR="00780C77" w:rsidRPr="00AE4CF6" w:rsidRDefault="00780C77" w:rsidP="00483D21">
            <w:pPr>
              <w:spacing w:after="20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86" w:type="dxa"/>
            <w:shd w:val="clear" w:color="auto" w:fill="92CDDC" w:themeFill="accent5" w:themeFillTint="99"/>
          </w:tcPr>
          <w:p w:rsidR="00AE4CF6" w:rsidRDefault="00AE4CF6" w:rsidP="00AE4CF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124B58" w:rsidRPr="00AE4CF6" w:rsidRDefault="00227220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 f</w:t>
            </w:r>
            <w:r w:rsidR="00931E8E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rançais est la langue d’instruction. La langue est principalement présentée de façon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isolée et sans contexte. (ex </w:t>
            </w:r>
            <w:proofErr w:type="gramStart"/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. :</w:t>
            </w:r>
            <w:proofErr w:type="gramEnd"/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931E8E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unité sur le passé composé)</w:t>
            </w:r>
          </w:p>
          <w:p w:rsidR="001E365A" w:rsidRPr="00AE4CF6" w:rsidRDefault="001E365A" w:rsidP="00483D21">
            <w:pPr>
              <w:pStyle w:val="ListParagraph"/>
              <w:ind w:left="148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505D1" w:rsidRPr="00AE4CF6" w:rsidRDefault="006505D1" w:rsidP="00483D21">
            <w:pPr>
              <w:pStyle w:val="ListParagraph"/>
              <w:ind w:left="148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31E8E" w:rsidRPr="00AE4CF6" w:rsidRDefault="00931E8E" w:rsidP="009E4DB9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5359DE" w:rsidRDefault="005359DE" w:rsidP="00AE4CF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931E8E" w:rsidRPr="00AE4CF6" w:rsidRDefault="00931E8E" w:rsidP="00AE4CF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Plus de 50% du temps est alloué aux activités d’écriture et de compréhension en lecture. Les tâches à l’orale se présentent souvent sous le format de présentations orales.</w:t>
            </w:r>
          </w:p>
          <w:p w:rsidR="00931E8E" w:rsidRPr="00AE4CF6" w:rsidRDefault="00931E8E" w:rsidP="006D545E">
            <w:pPr>
              <w:pStyle w:val="ListParagraph"/>
              <w:ind w:left="148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:rsidR="00E87C8E" w:rsidRPr="00AE4CF6" w:rsidRDefault="00E87C8E" w:rsidP="00931E8E">
            <w:pPr>
              <w:pStyle w:val="ListParagraph"/>
              <w:ind w:left="148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24B58" w:rsidRPr="00516C74" w:rsidTr="00483D21">
        <w:tc>
          <w:tcPr>
            <w:tcW w:w="14220" w:type="dxa"/>
            <w:gridSpan w:val="4"/>
            <w:shd w:val="clear" w:color="auto" w:fill="CCC0D9" w:themeFill="accent4" w:themeFillTint="66"/>
          </w:tcPr>
          <w:p w:rsidR="006D545E" w:rsidRPr="00AE4CF6" w:rsidRDefault="006D545E" w:rsidP="007B288B">
            <w:pPr>
              <w:ind w:left="199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24B58" w:rsidRPr="00AE4CF6" w:rsidRDefault="00931E8E" w:rsidP="00931E8E">
            <w:pPr>
              <w:ind w:left="199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Composante</w:t>
            </w:r>
            <w:r w:rsidR="00124B58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2: </w:t>
            </w: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L’apprentissage, l’enseignement et l’évaluation </w:t>
            </w:r>
            <w:r w:rsidR="00227368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des apprenants s’effectuent sous l’angle du</w:t>
            </w: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développement de compétences langagières.</w:t>
            </w:r>
          </w:p>
          <w:p w:rsidR="006D545E" w:rsidRPr="00AE4CF6" w:rsidRDefault="006D545E" w:rsidP="007B288B">
            <w:pPr>
              <w:ind w:left="199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306C9C" w:rsidRPr="00AE4CF6" w:rsidTr="00AE4CF6">
        <w:trPr>
          <w:trHeight w:val="3293"/>
        </w:trPr>
        <w:tc>
          <w:tcPr>
            <w:tcW w:w="3494" w:type="dxa"/>
          </w:tcPr>
          <w:p w:rsidR="00483D21" w:rsidRPr="00AE4CF6" w:rsidRDefault="00483D21" w:rsidP="007B288B">
            <w:pPr>
              <w:pStyle w:val="ListParagraph"/>
              <w:ind w:left="18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Default="00227368" w:rsidP="00AE4CF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Les buts d’apprentissage, les critères de réussite, et la rétroaction sont constamment ancrés sur la qualité </w:t>
            </w:r>
            <w:r w:rsidR="000C4CD0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observée de l’utilisation du français par les élèves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(ex. :</w:t>
            </w:r>
            <w:r w:rsidR="00227220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comment l’élève utilise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ses compétences langagières) dans les quatre domaines du curriculum. Le</w:t>
            </w:r>
            <w:r w:rsidR="00AF58F3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 habiletés et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les </w:t>
            </w:r>
            <w:r w:rsidR="00AF58F3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stratégies</w:t>
            </w:r>
            <w:r w:rsidR="00DB478F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apprises, enseignées et</w:t>
            </w:r>
            <w:r w:rsidR="00DB478F" w:rsidRPr="00AE4CF6">
              <w:rPr>
                <w:rFonts w:ascii="Arial" w:hAnsi="Arial" w:cs="Arial"/>
                <w:sz w:val="20"/>
                <w:szCs w:val="20"/>
                <w:lang w:val="fr-CA"/>
              </w:rPr>
              <w:t>/ou</w:t>
            </w:r>
            <w:r w:rsidR="00DB478F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évaluées</w:t>
            </w:r>
            <w:r w:rsidR="00AF58F3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sont lié</w:t>
            </w:r>
            <w:r w:rsidR="00AF58F3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</w:t>
            </w:r>
            <w:r w:rsidR="00AF58F3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au développement de compétences linguistiques, sociolinguistiques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et pragmatiques.</w:t>
            </w:r>
          </w:p>
          <w:p w:rsidR="005359DE" w:rsidRPr="00AE4CF6" w:rsidRDefault="005359DE" w:rsidP="00AE4CF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47" w:type="dxa"/>
            <w:shd w:val="clear" w:color="auto" w:fill="DAEEF3" w:themeFill="accent5" w:themeFillTint="33"/>
          </w:tcPr>
          <w:p w:rsidR="00483D21" w:rsidRPr="00AE4CF6" w:rsidRDefault="00483D21" w:rsidP="007B288B">
            <w:pPr>
              <w:pStyle w:val="ListParagraph"/>
              <w:ind w:left="19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C745E" w:rsidRPr="00AE4CF6" w:rsidRDefault="00AF58F3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Les buts d’apprentissage, les critères de réussite et</w:t>
            </w: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/ou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la rétroaction mettent l’accent sur les habiletés et les stratégies </w:t>
            </w:r>
            <w:r w:rsidR="00CE0F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qui sont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relié</w:t>
            </w:r>
            <w:r w:rsidR="00CE0F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es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à</w:t>
            </w:r>
            <w:r w:rsidR="00CE0F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la capacit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é des élèves à </w:t>
            </w:r>
            <w:r w:rsidR="00CE0F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produire et bien comprendre des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situation</w:t>
            </w:r>
            <w:r w:rsidR="00CE0F6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 de communication en f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rançais</w:t>
            </w:r>
            <w:r w:rsidR="00DB478F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.</w:t>
            </w:r>
          </w:p>
          <w:p w:rsidR="006D545E" w:rsidRPr="00AE4CF6" w:rsidRDefault="006D545E" w:rsidP="007B288B">
            <w:pPr>
              <w:pStyle w:val="ListParagraph"/>
              <w:ind w:left="19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D545E" w:rsidRPr="00AE4CF6" w:rsidRDefault="006D545E" w:rsidP="007B288B">
            <w:pPr>
              <w:pStyle w:val="ListParagraph"/>
              <w:ind w:left="19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B478F" w:rsidRPr="00AE4CF6" w:rsidRDefault="00DB478F" w:rsidP="007B288B">
            <w:pPr>
              <w:pStyle w:val="ListParagraph"/>
              <w:ind w:left="19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93" w:type="dxa"/>
            <w:shd w:val="clear" w:color="auto" w:fill="B6DDE8" w:themeFill="accent5" w:themeFillTint="66"/>
          </w:tcPr>
          <w:p w:rsidR="00483D21" w:rsidRPr="00AE4CF6" w:rsidRDefault="00483D21" w:rsidP="00BE30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E0F6B" w:rsidRPr="00AE4CF6" w:rsidRDefault="00CE0F6B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Malgré le fait que les buts d’apprentissage soient centrés sur la capacité qu’ont les élèves à utiliser la langue cible, les critères d’évaluation </w:t>
            </w:r>
            <w:r w:rsidR="00D61C06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eux, révèlent davantage des caractéristiques reliés à la forme plutôt qu’aux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fonction</w:t>
            </w:r>
            <w:r w:rsidR="00D61C06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 langagières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3486" w:type="dxa"/>
            <w:shd w:val="clear" w:color="auto" w:fill="92CDDC" w:themeFill="accent5" w:themeFillTint="99"/>
          </w:tcPr>
          <w:p w:rsidR="00483D21" w:rsidRPr="00AE4CF6" w:rsidRDefault="00483D21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61C06" w:rsidRPr="00AE4CF6" w:rsidRDefault="00D61C06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Les buts d’apprentissage, les critères de réussite et</w:t>
            </w: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/ou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la rétroaction insistent sur la forme plutôt que les fonctions langagières. (ex. : l’accord du gendre)</w:t>
            </w:r>
          </w:p>
          <w:p w:rsidR="00124B58" w:rsidRPr="00AE4CF6" w:rsidRDefault="00124B58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B478F" w:rsidRPr="00AE4CF6" w:rsidRDefault="00DB478F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Les connaissances et la compréhension du contenu sont au cœur de l’apprentissage. (ex. : quiz axé sur le contenu, vrai ou faux.)</w:t>
            </w:r>
          </w:p>
        </w:tc>
      </w:tr>
      <w:tr w:rsidR="00124B58" w:rsidRPr="00516C74" w:rsidTr="00483D21">
        <w:tc>
          <w:tcPr>
            <w:tcW w:w="14220" w:type="dxa"/>
            <w:gridSpan w:val="4"/>
            <w:shd w:val="clear" w:color="auto" w:fill="CCC0D9" w:themeFill="accent4" w:themeFillTint="66"/>
          </w:tcPr>
          <w:p w:rsidR="006D545E" w:rsidRPr="00AE4CF6" w:rsidRDefault="006D545E" w:rsidP="008F63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24B58" w:rsidRPr="00AE4CF6" w:rsidRDefault="00124B58" w:rsidP="008F63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Compo</w:t>
            </w:r>
            <w:r w:rsidR="00DB478F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sante</w:t>
            </w: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3: </w:t>
            </w:r>
            <w:r w:rsidR="00DB478F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L’a</w:t>
            </w:r>
            <w:r w:rsidR="00545643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pprentissage est visiblement</w:t>
            </w:r>
            <w:r w:rsidR="00DB478F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interactif</w:t>
            </w: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</w:p>
          <w:p w:rsidR="006D545E" w:rsidRPr="00AE4CF6" w:rsidRDefault="006D545E" w:rsidP="008F63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306C9C" w:rsidRPr="00516C74" w:rsidTr="00483D21">
        <w:tc>
          <w:tcPr>
            <w:tcW w:w="3494" w:type="dxa"/>
          </w:tcPr>
          <w:p w:rsidR="00124B58" w:rsidRPr="00AE4CF6" w:rsidRDefault="00124B58" w:rsidP="0054564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45643" w:rsidRPr="00AE4CF6" w:rsidRDefault="00545643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Les interactions entre les élèves sont parfoi</w:t>
            </w:r>
            <w:r w:rsidR="0060524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s structurées mais le plus 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souvent</w:t>
            </w:r>
            <w:r w:rsidR="000C4CD0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60524B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spontané</w:t>
            </w:r>
            <w:r w:rsidR="000C4CD0"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es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. Les élèves interagissent en français avec l’enseignant et les autres apprenants en réutilisant le langage appris dans un contexte familier et</w:t>
            </w: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/ou</w:t>
            </w: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nouveau. </w:t>
            </w:r>
          </w:p>
          <w:p w:rsidR="00124B58" w:rsidRPr="00AE4CF6" w:rsidRDefault="00124B58" w:rsidP="00483D21">
            <w:pPr>
              <w:pStyle w:val="ListParagraph"/>
              <w:ind w:left="7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45643" w:rsidRPr="00AE4CF6" w:rsidRDefault="00407EAB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Les interactions entre les élèves se produisent tout au long de la journée en s’appuyant sur le développement de compétences langagières ainsi que de l’engagement et la motivation de l’élève.</w:t>
            </w:r>
          </w:p>
          <w:p w:rsidR="005359DE" w:rsidRDefault="005359DE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5359DE" w:rsidRDefault="00407EAB" w:rsidP="005359DE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5359DE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L’organisation de la </w:t>
            </w:r>
            <w:r w:rsidR="002805BA" w:rsidRPr="005359DE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salle de </w:t>
            </w:r>
            <w:r w:rsidRPr="005359DE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classe est centrée sur l’apprentissage des élèves. Ceux-ci se déplacent li</w:t>
            </w:r>
            <w:r w:rsidR="00042D13" w:rsidRPr="005359DE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brement</w:t>
            </w:r>
            <w:r w:rsidRPr="005359DE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ce qui favorise des interactions de formes diverses et des regroupements variés selon les besoins et le contexte.</w:t>
            </w:r>
          </w:p>
          <w:p w:rsidR="00AE4CF6" w:rsidRPr="00AE4CF6" w:rsidRDefault="00AE4CF6" w:rsidP="009E4DB9">
            <w:pPr>
              <w:pStyle w:val="ListParagraph"/>
              <w:ind w:left="72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3647" w:type="dxa"/>
            <w:shd w:val="clear" w:color="auto" w:fill="DAEEF3" w:themeFill="accent5" w:themeFillTint="33"/>
          </w:tcPr>
          <w:p w:rsidR="00483D21" w:rsidRPr="00AE4CF6" w:rsidRDefault="00483D21" w:rsidP="007B288B">
            <w:pPr>
              <w:pStyle w:val="ListParagraph"/>
              <w:ind w:left="18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407EAB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Les interactions entre les élèves sont </w:t>
            </w:r>
            <w:r w:rsidR="002805BA" w:rsidRPr="00AE4CF6">
              <w:rPr>
                <w:rFonts w:ascii="Arial" w:hAnsi="Arial" w:cs="Arial"/>
                <w:sz w:val="20"/>
                <w:szCs w:val="20"/>
                <w:lang w:val="fr-CA"/>
              </w:rPr>
              <w:t>principalement organisées et planifiées par l’enseignant. Les élèves ont des occasions quotidiennes pour interagir en français avec les autres élèves et avec l’enseignant.</w:t>
            </w:r>
          </w:p>
          <w:p w:rsidR="00E87C8E" w:rsidRPr="00AE4CF6" w:rsidRDefault="00E87C8E" w:rsidP="007B288B">
            <w:pPr>
              <w:pStyle w:val="ListParagraph"/>
              <w:ind w:left="18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06C9C" w:rsidRPr="00AE4CF6" w:rsidRDefault="00306C9C" w:rsidP="007B288B">
            <w:pPr>
              <w:pStyle w:val="ListParagraph"/>
              <w:ind w:left="18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2805BA" w:rsidP="00AE4CF6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Les interactions entre les élèves se produisent régulièrement en s’appuyant sur le besoin de communiquer.</w:t>
            </w:r>
          </w:p>
          <w:p w:rsidR="00124B58" w:rsidRPr="00AE4CF6" w:rsidRDefault="00124B58" w:rsidP="007B288B">
            <w:pPr>
              <w:pStyle w:val="ListParagraph"/>
              <w:ind w:left="18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ind w:left="18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ind w:left="18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805BA" w:rsidRPr="00AE4CF6" w:rsidRDefault="002805BA" w:rsidP="00AE4CF6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L’organisation de la salle de classe favorise les interactions.</w:t>
            </w:r>
            <w:r w:rsidR="0050017D"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 Les pupitres</w:t>
            </w: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/tables sont organisés en groupes. Les déplacements entre les différents groupes sont valorisés.</w:t>
            </w:r>
          </w:p>
          <w:p w:rsidR="00E87C8E" w:rsidRPr="00AE4CF6" w:rsidRDefault="00E87C8E" w:rsidP="000A3833">
            <w:pPr>
              <w:ind w:left="3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93" w:type="dxa"/>
            <w:shd w:val="clear" w:color="auto" w:fill="B6DDE8" w:themeFill="accent5" w:themeFillTint="66"/>
          </w:tcPr>
          <w:p w:rsidR="00483D21" w:rsidRPr="00AE4CF6" w:rsidRDefault="00483D21" w:rsidP="007B288B">
            <w:pPr>
              <w:pStyle w:val="ListParagraph"/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50017D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Les interactions les plus fréquentes sont celles entre élèves/enseignants dans des situations de pratiques guidées.</w:t>
            </w:r>
          </w:p>
          <w:p w:rsidR="0050017D" w:rsidRPr="00AE4CF6" w:rsidRDefault="0050017D" w:rsidP="007B288B">
            <w:pPr>
              <w:pStyle w:val="ListParagraph"/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0017D" w:rsidRPr="00AE4CF6" w:rsidRDefault="0050017D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Les interactions entre les élèves se déroulent à des moments précis selon un contenu spécifique/thème.</w:t>
            </w:r>
          </w:p>
          <w:p w:rsidR="00124B58" w:rsidRPr="00AE4CF6" w:rsidRDefault="00124B58" w:rsidP="007B288B">
            <w:pPr>
              <w:pStyle w:val="ListParagraph"/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C745E" w:rsidRPr="00AE4CF6" w:rsidRDefault="0050017D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L’organisation de la salle de classe favorise les interactions de manières structurées. Les pupitres/tables sont organisés en paires. </w:t>
            </w:r>
          </w:p>
          <w:p w:rsidR="00FC745E" w:rsidRPr="00AE4CF6" w:rsidRDefault="00FC745E" w:rsidP="0050017D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486" w:type="dxa"/>
            <w:shd w:val="clear" w:color="auto" w:fill="92CDDC" w:themeFill="accent5" w:themeFillTint="99"/>
          </w:tcPr>
          <w:p w:rsidR="005359DE" w:rsidRDefault="005359DE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50017D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La majorité de la communication est faite par l’enseignant. </w:t>
            </w:r>
          </w:p>
          <w:p w:rsidR="0050017D" w:rsidRPr="00AE4CF6" w:rsidRDefault="0050017D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50017D" w:rsidRPr="00AE4CF6" w:rsidRDefault="0050017D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Les interactions entre les élèves sont principalement</w:t>
            </w:r>
            <w:r w:rsidR="004A632A"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 préparées et parfois mémorisées avant de prendre place.</w:t>
            </w:r>
          </w:p>
          <w:p w:rsidR="004A632A" w:rsidRPr="00AE4CF6" w:rsidRDefault="004A632A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Pr="00AE4CF6" w:rsidRDefault="00042D13" w:rsidP="007B288B">
            <w:pPr>
              <w:pStyle w:val="ListParagraph"/>
              <w:ind w:left="139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A632A" w:rsidRPr="00AE4CF6" w:rsidRDefault="004A632A" w:rsidP="00AE4CF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>L’organisation de la salle de classe ne permet pas aux élèves de se déplacer librement et/ou de les engager dans des activités de groupe.</w:t>
            </w:r>
          </w:p>
          <w:p w:rsidR="00124B58" w:rsidRPr="00AE4CF6" w:rsidRDefault="00124B58" w:rsidP="008F636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C745E" w:rsidRPr="00AE4CF6" w:rsidRDefault="00FC745E" w:rsidP="004A632A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</w:p>
        </w:tc>
      </w:tr>
      <w:tr w:rsidR="00124B58" w:rsidRPr="00516C74" w:rsidTr="00483D21">
        <w:tc>
          <w:tcPr>
            <w:tcW w:w="14220" w:type="dxa"/>
            <w:gridSpan w:val="4"/>
            <w:shd w:val="clear" w:color="auto" w:fill="CCC0D9" w:themeFill="accent4" w:themeFillTint="66"/>
          </w:tcPr>
          <w:p w:rsidR="006D545E" w:rsidRPr="00AE4CF6" w:rsidRDefault="006D545E" w:rsidP="008F63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042D13" w:rsidRPr="00AE4CF6" w:rsidRDefault="00124B58" w:rsidP="008F63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Compo</w:t>
            </w:r>
            <w:r w:rsidR="00042D13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sante</w:t>
            </w:r>
            <w:r w:rsidR="0089188D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4: </w:t>
            </w:r>
            <w:r w:rsidR="00227220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La métacognition et</w:t>
            </w:r>
            <w:r w:rsidR="00042D13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l’autonomie de </w:t>
            </w:r>
            <w:r w:rsidR="00227220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l’apprenant jouent un rôle central</w:t>
            </w:r>
            <w:r w:rsidR="00042D13" w:rsidRPr="00AE4CF6">
              <w:rPr>
                <w:rFonts w:ascii="Arial" w:hAnsi="Arial" w:cs="Arial"/>
                <w:b/>
                <w:sz w:val="20"/>
                <w:szCs w:val="20"/>
                <w:lang w:val="fr-CA"/>
              </w:rPr>
              <w:t>.</w:t>
            </w:r>
          </w:p>
          <w:p w:rsidR="006D545E" w:rsidRPr="00AE4CF6" w:rsidRDefault="006D545E" w:rsidP="00042D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306C9C" w:rsidRPr="00516C74" w:rsidTr="00483D21">
        <w:tc>
          <w:tcPr>
            <w:tcW w:w="3494" w:type="dxa"/>
          </w:tcPr>
          <w:p w:rsidR="00023C5D" w:rsidRPr="00AE4CF6" w:rsidRDefault="00023C5D" w:rsidP="006D545E">
            <w:pPr>
              <w:pStyle w:val="ListParagraph"/>
              <w:ind w:left="72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42D13" w:rsidRDefault="00042D13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>Enseignants et élèves utilisent un langage commun afin de décrire le progrès basé sur un continuum  de développement de compétences</w:t>
            </w:r>
            <w:r w:rsidR="000A226C" w:rsidRPr="005359DE">
              <w:rPr>
                <w:rFonts w:ascii="Arial" w:hAnsi="Arial" w:cs="Arial"/>
                <w:sz w:val="20"/>
                <w:szCs w:val="20"/>
                <w:lang w:val="fr-CA"/>
              </w:rPr>
              <w:t>. Les élèves</w:t>
            </w: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peuvent se situer </w:t>
            </w:r>
            <w:r w:rsidR="000C4CD0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et se fixer des objectifs spécifiques </w:t>
            </w:r>
            <w:r w:rsidR="0024762E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en </w:t>
            </w:r>
            <w:r w:rsidR="000C4CD0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tout temps </w:t>
            </w: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visant l’amélioration, </w:t>
            </w:r>
            <w:r w:rsidR="00023C5D" w:rsidRPr="005359DE">
              <w:rPr>
                <w:rFonts w:ascii="Arial" w:hAnsi="Arial" w:cs="Arial"/>
                <w:sz w:val="20"/>
                <w:szCs w:val="20"/>
                <w:lang w:val="fr-CA"/>
              </w:rPr>
              <w:t>ce</w:t>
            </w:r>
            <w:r w:rsidR="000A226C" w:rsidRPr="005359DE">
              <w:rPr>
                <w:rFonts w:ascii="Arial" w:hAnsi="Arial" w:cs="Arial"/>
                <w:sz w:val="20"/>
                <w:szCs w:val="20"/>
                <w:lang w:val="fr-CA"/>
              </w:rPr>
              <w:t>ci leur permettant donc d’être bien informé</w:t>
            </w:r>
            <w:r w:rsidR="008A7A06" w:rsidRPr="005359DE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0A226C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sur les possibles occasions d’</w:t>
            </w:r>
            <w:r w:rsidR="00023C5D" w:rsidRPr="005359DE">
              <w:rPr>
                <w:rFonts w:ascii="Arial" w:hAnsi="Arial" w:cs="Arial"/>
                <w:sz w:val="20"/>
                <w:szCs w:val="20"/>
                <w:lang w:val="fr-CA"/>
              </w:rPr>
              <w:t>apprentissage à venir.</w:t>
            </w:r>
            <w:r w:rsidR="000A226C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23C5D" w:rsidRPr="005359DE">
              <w:rPr>
                <w:rFonts w:ascii="Arial" w:hAnsi="Arial" w:cs="Arial"/>
                <w:sz w:val="20"/>
                <w:szCs w:val="20"/>
                <w:lang w:val="fr-CA"/>
              </w:rPr>
              <w:t>Les élèves établissent des objectifs individuels</w:t>
            </w:r>
            <w:r w:rsidR="008A7A06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23C5D" w:rsidRPr="005359DE">
              <w:rPr>
                <w:rFonts w:ascii="Arial" w:hAnsi="Arial" w:cs="Arial"/>
                <w:sz w:val="20"/>
                <w:szCs w:val="20"/>
                <w:lang w:val="fr-CA"/>
              </w:rPr>
              <w:t>dans leur apprentissage</w:t>
            </w:r>
            <w:r w:rsidR="008A7A06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continu</w:t>
            </w:r>
            <w:r w:rsidR="00023C5D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de la langue seconde. </w:t>
            </w:r>
          </w:p>
          <w:p w:rsidR="005359DE" w:rsidRPr="005359DE" w:rsidRDefault="005359DE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647" w:type="dxa"/>
            <w:shd w:val="clear" w:color="auto" w:fill="DAEEF3" w:themeFill="accent5" w:themeFillTint="33"/>
          </w:tcPr>
          <w:p w:rsidR="00306C9C" w:rsidRPr="00AE4CF6" w:rsidRDefault="00306C9C" w:rsidP="006D54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5359DE" w:rsidRDefault="00B11303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>En identifiant ce qu’ils sont capables de faire, l</w:t>
            </w:r>
            <w:r w:rsidR="008A7A06" w:rsidRPr="005359DE">
              <w:rPr>
                <w:rFonts w:ascii="Arial" w:hAnsi="Arial" w:cs="Arial"/>
                <w:sz w:val="20"/>
                <w:szCs w:val="20"/>
                <w:lang w:val="fr-CA"/>
              </w:rPr>
              <w:t>es élèves sont engagés dans la description de leur progrès et dans la réflexion menant aux étapes nécessaires visant l’</w:t>
            </w: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amélioration de leurs compétences langagières. La rétroaction de l’enseignant et celle des paires décrivant le développement des compétences </w:t>
            </w:r>
            <w:r w:rsidR="00887560" w:rsidRPr="005359DE">
              <w:rPr>
                <w:rFonts w:ascii="Arial" w:hAnsi="Arial" w:cs="Arial"/>
                <w:sz w:val="20"/>
                <w:szCs w:val="20"/>
                <w:lang w:val="fr-CA"/>
              </w:rPr>
              <w:t>font partie</w:t>
            </w: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des occasions d’apprentissage à venir. </w:t>
            </w:r>
          </w:p>
        </w:tc>
        <w:tc>
          <w:tcPr>
            <w:tcW w:w="3593" w:type="dxa"/>
            <w:shd w:val="clear" w:color="auto" w:fill="B6DDE8" w:themeFill="accent5" w:themeFillTint="66"/>
          </w:tcPr>
          <w:p w:rsidR="00B11303" w:rsidRPr="00AE4CF6" w:rsidRDefault="00B11303" w:rsidP="00E555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B11303" w:rsidRPr="005359DE" w:rsidRDefault="008706CF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Les enseignants offrent de la rétroaction basée </w:t>
            </w:r>
            <w:r w:rsidR="00887560" w:rsidRPr="005359DE">
              <w:rPr>
                <w:rFonts w:ascii="Arial" w:hAnsi="Arial" w:cs="Arial"/>
                <w:sz w:val="20"/>
                <w:szCs w:val="20"/>
                <w:lang w:val="fr-CA"/>
              </w:rPr>
              <w:t>sur les acquis</w:t>
            </w:r>
            <w:r w:rsidR="00B11303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des élèves et suggèrent </w:t>
            </w:r>
            <w:r w:rsidR="00B11303" w:rsidRPr="005359DE">
              <w:rPr>
                <w:rFonts w:ascii="Arial" w:hAnsi="Arial" w:cs="Arial"/>
                <w:sz w:val="20"/>
                <w:szCs w:val="20"/>
                <w:lang w:val="fr-CA"/>
              </w:rPr>
              <w:t>des pistes d</w:t>
            </w:r>
            <w:r w:rsidR="00E55523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’amélioration. </w:t>
            </w:r>
            <w:r w:rsidR="00B11303" w:rsidRPr="005359DE">
              <w:rPr>
                <w:rFonts w:ascii="Arial" w:hAnsi="Arial" w:cs="Arial"/>
                <w:sz w:val="20"/>
                <w:szCs w:val="20"/>
                <w:lang w:val="fr-CA"/>
              </w:rPr>
              <w:t>L’autonomie des élèves</w:t>
            </w:r>
            <w:r w:rsidR="00C60326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se dé</w:t>
            </w:r>
            <w:r w:rsidR="00B11303" w:rsidRPr="005359DE">
              <w:rPr>
                <w:rFonts w:ascii="Arial" w:hAnsi="Arial" w:cs="Arial"/>
                <w:sz w:val="20"/>
                <w:szCs w:val="20"/>
                <w:lang w:val="fr-CA"/>
              </w:rPr>
              <w:t>veloppe</w:t>
            </w:r>
            <w:r w:rsidR="00C60326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à travers les occasions qu</w:t>
            </w:r>
            <w:r w:rsidR="00E55523" w:rsidRPr="005359DE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C60326" w:rsidRPr="005359DE">
              <w:rPr>
                <w:rFonts w:ascii="Arial" w:hAnsi="Arial" w:cs="Arial"/>
                <w:sz w:val="20"/>
                <w:szCs w:val="20"/>
                <w:lang w:val="fr-CA"/>
              </w:rPr>
              <w:t xml:space="preserve"> leur sont offert</w:t>
            </w:r>
            <w:r w:rsidR="00E55523" w:rsidRPr="005359DE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C60326" w:rsidRPr="005359DE">
              <w:rPr>
                <w:rFonts w:ascii="Arial" w:hAnsi="Arial" w:cs="Arial"/>
                <w:sz w:val="20"/>
                <w:szCs w:val="20"/>
                <w:lang w:val="fr-CA"/>
              </w:rPr>
              <w:t>s de mettre en pratique les pistes d’amélioration suggérées.</w:t>
            </w:r>
          </w:p>
          <w:p w:rsidR="00FC745E" w:rsidRPr="00AE4CF6" w:rsidRDefault="00FC745E" w:rsidP="007B288B">
            <w:pPr>
              <w:ind w:left="13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06C9C" w:rsidRPr="00AE4CF6" w:rsidRDefault="00306C9C" w:rsidP="006D54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124B58" w:rsidP="008F636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124B58" w:rsidP="00233721">
            <w:pPr>
              <w:ind w:left="368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86" w:type="dxa"/>
            <w:shd w:val="clear" w:color="auto" w:fill="92CDDC" w:themeFill="accent5" w:themeFillTint="99"/>
          </w:tcPr>
          <w:p w:rsidR="00483D21" w:rsidRPr="00AE4CF6" w:rsidRDefault="00483D21" w:rsidP="007B288B">
            <w:pPr>
              <w:ind w:left="12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55523" w:rsidRPr="00AE4CF6" w:rsidRDefault="00E55523" w:rsidP="005359D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4CF6">
              <w:rPr>
                <w:rFonts w:ascii="Arial" w:hAnsi="Arial" w:cs="Arial"/>
                <w:sz w:val="20"/>
                <w:szCs w:val="20"/>
                <w:lang w:val="fr-CA"/>
              </w:rPr>
              <w:t xml:space="preserve">Les élèves sont conscients de leurs progrès grâce aux notes et à la rétroaction qu’ils ont reçues de leur enseignant. Les activités de métacognition mettent l’accent sur la correction des erreurs. </w:t>
            </w:r>
          </w:p>
          <w:p w:rsidR="00FC745E" w:rsidRPr="00AE4CF6" w:rsidRDefault="00FC745E" w:rsidP="00FC74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C745E" w:rsidRPr="00AE4CF6" w:rsidRDefault="00FC745E" w:rsidP="00FC74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06C9C" w:rsidRPr="00AE4CF6" w:rsidRDefault="00306C9C" w:rsidP="00483D2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06C9C" w:rsidRPr="00AE4CF6" w:rsidRDefault="00306C9C" w:rsidP="006D54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24B58" w:rsidRPr="00AE4CF6" w:rsidRDefault="00124B58" w:rsidP="006D545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5E3B5A" w:rsidRPr="005359DE" w:rsidRDefault="00516C74">
      <w:pPr>
        <w:rPr>
          <w:lang w:val="fr-FR"/>
        </w:rPr>
      </w:pPr>
      <w:r w:rsidRPr="00516C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hidden="0" allowOverlap="1" wp14:anchorId="22DF16F8" wp14:editId="6380DF04">
                <wp:simplePos x="0" y="0"/>
                <wp:positionH relativeFrom="margin">
                  <wp:posOffset>171450</wp:posOffset>
                </wp:positionH>
                <wp:positionV relativeFrom="paragraph">
                  <wp:posOffset>-635</wp:posOffset>
                </wp:positionV>
                <wp:extent cx="2133600" cy="774700"/>
                <wp:effectExtent l="0" t="0" r="0" b="63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747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6C74" w:rsidRDefault="00516C74" w:rsidP="00516C74">
                            <w:pPr>
                              <w:spacing w:line="275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</w:rPr>
                              <w:t>impl</w:t>
                            </w:r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  <w:lang w:val="fr-CA"/>
                              </w:rPr>
                              <w:t>émentation</w:t>
                            </w:r>
                            <w:proofErr w:type="spellEnd"/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</w:rPr>
                              <w:t>complète</w:t>
                            </w:r>
                            <w:proofErr w:type="spellEnd"/>
                          </w:p>
                          <w:p w:rsidR="00516C74" w:rsidRDefault="00516C74" w:rsidP="00516C7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516C74" w:rsidRDefault="00516C74" w:rsidP="00516C7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2DF16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3.5pt;margin-top:-.05pt;width:168pt;height:61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" adj="3921" fillcolor="#eeece1 [3203]" stroked="f">
                <v:textbox inset="2.53958mm,1.2694mm,2.53958mm,1.2694mm">
                  <w:txbxContent>
                    <w:p w:rsidR="00516C74" w:rsidRDefault="00516C74" w:rsidP="00516C74">
                      <w:pPr>
                        <w:spacing w:line="275" w:lineRule="auto"/>
                        <w:textDirection w:val="btLr"/>
                      </w:pPr>
                      <w:proofErr w:type="spellStart"/>
                      <w:r>
                        <w:rPr>
                          <w:rFonts w:ascii="Cabin" w:eastAsia="Cabin" w:hAnsi="Cabin" w:cs="Cabin"/>
                          <w:b/>
                          <w:color w:val="0D0D0D"/>
                        </w:rPr>
                        <w:t>impl</w:t>
                      </w:r>
                      <w:r>
                        <w:rPr>
                          <w:rFonts w:ascii="Cabin" w:eastAsia="Cabin" w:hAnsi="Cabin" w:cs="Cabin"/>
                          <w:b/>
                          <w:color w:val="0D0D0D"/>
                          <w:lang w:val="fr-CA"/>
                        </w:rPr>
                        <w:t>émentation</w:t>
                      </w:r>
                      <w:proofErr w:type="spellEnd"/>
                      <w:r>
                        <w:rPr>
                          <w:rFonts w:ascii="Cabin" w:eastAsia="Cabin" w:hAnsi="Cabin" w:cs="Cabin"/>
                          <w:b/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bin" w:eastAsia="Cabin" w:hAnsi="Cabin" w:cs="Cabin"/>
                          <w:b/>
                          <w:color w:val="0D0D0D"/>
                        </w:rPr>
                        <w:t>complète</w:t>
                      </w:r>
                      <w:proofErr w:type="spellEnd"/>
                    </w:p>
                    <w:p w:rsidR="00516C74" w:rsidRDefault="00516C74" w:rsidP="00516C74">
                      <w:pPr>
                        <w:spacing w:line="275" w:lineRule="auto"/>
                        <w:textDirection w:val="btLr"/>
                      </w:pPr>
                    </w:p>
                    <w:p w:rsidR="00516C74" w:rsidRDefault="00516C74" w:rsidP="00516C7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6C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4B0C37B" wp14:editId="5C47FEC7">
                <wp:simplePos x="0" y="0"/>
                <wp:positionH relativeFrom="margin">
                  <wp:posOffset>2291715</wp:posOffset>
                </wp:positionH>
                <wp:positionV relativeFrom="paragraph">
                  <wp:posOffset>189865</wp:posOffset>
                </wp:positionV>
                <wp:extent cx="2324100" cy="381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6C74" w:rsidRDefault="00516C74" w:rsidP="00516C7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4B0C37B" id="Rectangle 4" o:spid="_x0000_s1027" style="position:absolute;margin-left:180.45pt;margin-top:14.95pt;width:183pt;height:30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" fillcolor="#daeef3" stroked="f">
                <v:textbox inset="2.53958mm,1.2694mm,2.53958mm,1.2694mm">
                  <w:txbxContent>
                    <w:p w:rsidR="00516C74" w:rsidRDefault="00516C74" w:rsidP="00516C7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6C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E8278DD" wp14:editId="1E63A09C">
                <wp:simplePos x="0" y="0"/>
                <wp:positionH relativeFrom="margin">
                  <wp:posOffset>4603115</wp:posOffset>
                </wp:positionH>
                <wp:positionV relativeFrom="paragraph">
                  <wp:posOffset>189865</wp:posOffset>
                </wp:positionV>
                <wp:extent cx="2324100" cy="381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81000"/>
                        </a:xfrm>
                        <a:prstGeom prst="rect">
                          <a:avLst/>
                        </a:prstGeom>
                        <a:solidFill>
                          <a:srgbClr val="B6DD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6C74" w:rsidRDefault="00516C74" w:rsidP="00516C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E8278DD" id="Rectangle 5" o:spid="_x0000_s1028" style="position:absolute;margin-left:362.45pt;margin-top:14.95pt;width:183pt;height:30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" fillcolor="#b6dde7" stroked="f">
                <v:textbox inset="2.53958mm,2.53958mm,2.53958mm,2.53958mm">
                  <w:txbxContent>
                    <w:p w:rsidR="00516C74" w:rsidRDefault="00516C74" w:rsidP="00516C7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6C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FCE35D1" wp14:editId="44F362E0">
                <wp:simplePos x="0" y="0"/>
                <wp:positionH relativeFrom="margin">
                  <wp:posOffset>6915038</wp:posOffset>
                </wp:positionH>
                <wp:positionV relativeFrom="paragraph">
                  <wp:posOffset>-635</wp:posOffset>
                </wp:positionV>
                <wp:extent cx="2171700" cy="774700"/>
                <wp:effectExtent l="0" t="0" r="0" b="63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747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2CC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6C74" w:rsidRPr="00516C74" w:rsidRDefault="00516C74" w:rsidP="00516C74">
                            <w:pPr>
                              <w:spacing w:line="275" w:lineRule="auto"/>
                              <w:textDirection w:val="btLr"/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</w:rPr>
                              <w:t>Aucune</w:t>
                            </w:r>
                            <w:proofErr w:type="spellEnd"/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</w:rPr>
                              <w:t>impl</w:t>
                            </w:r>
                            <w:r>
                              <w:rPr>
                                <w:rFonts w:ascii="Cabin" w:eastAsia="Cabin" w:hAnsi="Cabin" w:cs="Cabin"/>
                                <w:b/>
                                <w:color w:val="0D0D0D"/>
                                <w:lang w:val="fr-CA"/>
                              </w:rPr>
                              <w:t>émentation</w:t>
                            </w:r>
                            <w:proofErr w:type="spellEnd"/>
                          </w:p>
                          <w:p w:rsidR="00516C74" w:rsidRDefault="00516C74" w:rsidP="00516C7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1FCE35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9" type="#_x0000_t13" style="position:absolute;margin-left:544.5pt;margin-top:-.05pt;width:171pt;height:61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" adj="17747" fillcolor="#92ccdc" stroked="f">
                <v:textbox inset="2.53958mm,1.2694mm,2.53958mm,1.2694mm">
                  <w:txbxContent>
                    <w:p w:rsidR="00516C74" w:rsidRPr="00516C74" w:rsidRDefault="00516C74" w:rsidP="00516C74">
                      <w:pPr>
                        <w:spacing w:line="275" w:lineRule="auto"/>
                        <w:textDirection w:val="btLr"/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rFonts w:ascii="Cabin" w:eastAsia="Cabin" w:hAnsi="Cabin" w:cs="Cabin"/>
                          <w:b/>
                          <w:color w:val="0D0D0D"/>
                        </w:rPr>
                        <w:t>Aucune</w:t>
                      </w:r>
                      <w:proofErr w:type="spellEnd"/>
                      <w:r>
                        <w:rPr>
                          <w:rFonts w:ascii="Cabin" w:eastAsia="Cabin" w:hAnsi="Cabin" w:cs="Cabin"/>
                          <w:b/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bin" w:eastAsia="Cabin" w:hAnsi="Cabin" w:cs="Cabin"/>
                          <w:b/>
                          <w:color w:val="0D0D0D"/>
                        </w:rPr>
                        <w:t>impl</w:t>
                      </w:r>
                      <w:r>
                        <w:rPr>
                          <w:rFonts w:ascii="Cabin" w:eastAsia="Cabin" w:hAnsi="Cabin" w:cs="Cabin"/>
                          <w:b/>
                          <w:color w:val="0D0D0D"/>
                          <w:lang w:val="fr-CA"/>
                        </w:rPr>
                        <w:t>émentation</w:t>
                      </w:r>
                      <w:proofErr w:type="spellEnd"/>
                    </w:p>
                    <w:p w:rsidR="00516C74" w:rsidRDefault="00516C74" w:rsidP="00516C7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3B5A" w:rsidRPr="005359DE" w:rsidSect="00124B58">
      <w:headerReference w:type="default" r:id="rId8"/>
      <w:footerReference w:type="default" r:id="rId9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93" w:rsidRDefault="000B6F93" w:rsidP="00BD4FFD">
      <w:pPr>
        <w:spacing w:after="0" w:line="240" w:lineRule="auto"/>
      </w:pPr>
      <w:r>
        <w:separator/>
      </w:r>
    </w:p>
  </w:endnote>
  <w:endnote w:type="continuationSeparator" w:id="0">
    <w:p w:rsidR="000B6F93" w:rsidRDefault="000B6F93" w:rsidP="00B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D" w:rsidRPr="009E4DB9" w:rsidRDefault="009E4DB9">
    <w:pPr>
      <w:pStyle w:val="Footer"/>
      <w:rPr>
        <w:lang w:val="fr-CA"/>
      </w:rPr>
    </w:pPr>
    <w:r w:rsidRPr="009E4DB9">
      <w:rPr>
        <w:lang w:val="fr-CA"/>
      </w:rPr>
      <w:t xml:space="preserve">Rétroaction suite à la rencontre </w:t>
    </w:r>
    <w:r>
      <w:rPr>
        <w:lang w:val="fr-CA"/>
      </w:rPr>
      <w:t xml:space="preserve">virtuelle </w:t>
    </w:r>
    <w:r w:rsidRPr="009E4DB9">
      <w:rPr>
        <w:lang w:val="fr-CA"/>
      </w:rPr>
      <w:t>provincial</w:t>
    </w:r>
    <w:r>
      <w:rPr>
        <w:lang w:val="fr-CA"/>
      </w:rPr>
      <w:t>e</w:t>
    </w:r>
    <w:r w:rsidRPr="009E4DB9">
      <w:rPr>
        <w:lang w:val="fr-CA"/>
      </w:rPr>
      <w:t xml:space="preserve"> du CECR de juin 2016</w:t>
    </w:r>
    <w:r>
      <w:rPr>
        <w:lang w:val="fr-CA"/>
      </w:rPr>
      <w:t xml:space="preserve"> </w:t>
    </w:r>
    <w:r w:rsidRPr="009E4DB9">
      <w:rPr>
        <w:lang w:val="fr-CA"/>
      </w:rPr>
      <w:t xml:space="preserve"> (Traduction libre)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93" w:rsidRDefault="000B6F93" w:rsidP="00BD4FFD">
      <w:pPr>
        <w:spacing w:after="0" w:line="240" w:lineRule="auto"/>
      </w:pPr>
      <w:r>
        <w:separator/>
      </w:r>
    </w:p>
  </w:footnote>
  <w:footnote w:type="continuationSeparator" w:id="0">
    <w:p w:rsidR="000B6F93" w:rsidRDefault="000B6F93" w:rsidP="00BD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D" w:rsidRDefault="00413542" w:rsidP="00AE4CF6">
    <w:pPr>
      <w:pStyle w:val="Header"/>
      <w:jc w:val="cent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>Le CEC</w:t>
    </w:r>
    <w:r w:rsidR="00EC12EA" w:rsidRPr="00EC12EA">
      <w:rPr>
        <w:b/>
        <w:sz w:val="28"/>
        <w:szCs w:val="28"/>
        <w:lang w:val="fr-CA"/>
      </w:rPr>
      <w:t>R en Ontario: Un</w:t>
    </w:r>
    <w:r w:rsidR="001A7783" w:rsidRPr="00EC12EA">
      <w:rPr>
        <w:b/>
        <w:sz w:val="28"/>
        <w:szCs w:val="28"/>
        <w:lang w:val="fr-CA"/>
      </w:rPr>
      <w:t xml:space="preserve"> </w:t>
    </w:r>
    <w:r w:rsidR="00EC12EA">
      <w:rPr>
        <w:b/>
        <w:sz w:val="28"/>
        <w:szCs w:val="28"/>
        <w:lang w:val="fr-CA"/>
      </w:rPr>
      <w:t>Continuum d’imp</w:t>
    </w:r>
    <w:r w:rsidR="004627CD">
      <w:rPr>
        <w:b/>
        <w:sz w:val="28"/>
        <w:szCs w:val="28"/>
        <w:lang w:val="fr-CA"/>
      </w:rPr>
      <w:t>l</w:t>
    </w:r>
    <w:r>
      <w:rPr>
        <w:b/>
        <w:sz w:val="28"/>
        <w:szCs w:val="28"/>
        <w:lang w:val="fr-CA"/>
      </w:rPr>
      <w:t>émentation</w:t>
    </w:r>
  </w:p>
  <w:p w:rsidR="00AE4CF6" w:rsidRPr="00EC12EA" w:rsidRDefault="00AE4CF6" w:rsidP="00AE4CF6">
    <w:pPr>
      <w:pStyle w:val="Header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70F"/>
    <w:multiLevelType w:val="hybridMultilevel"/>
    <w:tmpl w:val="2858FA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F20DF"/>
    <w:multiLevelType w:val="hybridMultilevel"/>
    <w:tmpl w:val="81CAA7A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B6CFD"/>
    <w:multiLevelType w:val="hybridMultilevel"/>
    <w:tmpl w:val="D4CC259C"/>
    <w:lvl w:ilvl="0" w:tplc="4A70313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1AA9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9A8E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B2C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0043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76B9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2C46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676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5CEF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30F21"/>
    <w:multiLevelType w:val="hybridMultilevel"/>
    <w:tmpl w:val="63424B6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96D81"/>
    <w:multiLevelType w:val="hybridMultilevel"/>
    <w:tmpl w:val="CBB8DB4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8"/>
    <w:rsid w:val="000039A2"/>
    <w:rsid w:val="00023C5D"/>
    <w:rsid w:val="000419F6"/>
    <w:rsid w:val="00042D13"/>
    <w:rsid w:val="00071F4E"/>
    <w:rsid w:val="000A1C2A"/>
    <w:rsid w:val="000A226C"/>
    <w:rsid w:val="000A3833"/>
    <w:rsid w:val="000B6F93"/>
    <w:rsid w:val="000C4CD0"/>
    <w:rsid w:val="00124B58"/>
    <w:rsid w:val="0014222F"/>
    <w:rsid w:val="001A7783"/>
    <w:rsid w:val="001D5EEA"/>
    <w:rsid w:val="001E365A"/>
    <w:rsid w:val="001E52F0"/>
    <w:rsid w:val="00203450"/>
    <w:rsid w:val="00227220"/>
    <w:rsid w:val="00227368"/>
    <w:rsid w:val="00233721"/>
    <w:rsid w:val="0024762E"/>
    <w:rsid w:val="00263C1D"/>
    <w:rsid w:val="00270C92"/>
    <w:rsid w:val="002805BA"/>
    <w:rsid w:val="002940F8"/>
    <w:rsid w:val="002A6E4C"/>
    <w:rsid w:val="00306C9C"/>
    <w:rsid w:val="00372545"/>
    <w:rsid w:val="003C697E"/>
    <w:rsid w:val="003D3527"/>
    <w:rsid w:val="00407EAB"/>
    <w:rsid w:val="00413542"/>
    <w:rsid w:val="00441EB3"/>
    <w:rsid w:val="004627CD"/>
    <w:rsid w:val="00483D21"/>
    <w:rsid w:val="00485027"/>
    <w:rsid w:val="00496551"/>
    <w:rsid w:val="004A632A"/>
    <w:rsid w:val="004E377B"/>
    <w:rsid w:val="0050017D"/>
    <w:rsid w:val="00516C74"/>
    <w:rsid w:val="005359DE"/>
    <w:rsid w:val="00543B9B"/>
    <w:rsid w:val="00545643"/>
    <w:rsid w:val="00575B25"/>
    <w:rsid w:val="005E3B5A"/>
    <w:rsid w:val="0060524B"/>
    <w:rsid w:val="00642B1C"/>
    <w:rsid w:val="006505D1"/>
    <w:rsid w:val="006738CE"/>
    <w:rsid w:val="006835AE"/>
    <w:rsid w:val="006D545E"/>
    <w:rsid w:val="00780C77"/>
    <w:rsid w:val="007B288B"/>
    <w:rsid w:val="007E2EE2"/>
    <w:rsid w:val="00855186"/>
    <w:rsid w:val="008706CF"/>
    <w:rsid w:val="00887560"/>
    <w:rsid w:val="0089188D"/>
    <w:rsid w:val="008A7A06"/>
    <w:rsid w:val="0092026B"/>
    <w:rsid w:val="00931E8E"/>
    <w:rsid w:val="009E4DB9"/>
    <w:rsid w:val="00A00918"/>
    <w:rsid w:val="00AE4CF6"/>
    <w:rsid w:val="00AF58F3"/>
    <w:rsid w:val="00B037F7"/>
    <w:rsid w:val="00B11303"/>
    <w:rsid w:val="00BC7A07"/>
    <w:rsid w:val="00BD4FFD"/>
    <w:rsid w:val="00BE30D8"/>
    <w:rsid w:val="00C26A26"/>
    <w:rsid w:val="00C60326"/>
    <w:rsid w:val="00C861DB"/>
    <w:rsid w:val="00CE0F6B"/>
    <w:rsid w:val="00CE23C8"/>
    <w:rsid w:val="00D271FC"/>
    <w:rsid w:val="00D42A03"/>
    <w:rsid w:val="00D61C06"/>
    <w:rsid w:val="00D677AD"/>
    <w:rsid w:val="00DB478F"/>
    <w:rsid w:val="00DF1F53"/>
    <w:rsid w:val="00E11E5E"/>
    <w:rsid w:val="00E256EF"/>
    <w:rsid w:val="00E55523"/>
    <w:rsid w:val="00E7791F"/>
    <w:rsid w:val="00E87C8E"/>
    <w:rsid w:val="00EC12EA"/>
    <w:rsid w:val="00EE3DBC"/>
    <w:rsid w:val="00F056B0"/>
    <w:rsid w:val="00F53C5C"/>
    <w:rsid w:val="00F755E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AC8A88-CC4C-4DD2-93CB-E0E653A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FD"/>
  </w:style>
  <w:style w:type="paragraph" w:styleId="Footer">
    <w:name w:val="footer"/>
    <w:basedOn w:val="Normal"/>
    <w:link w:val="FooterChar"/>
    <w:uiPriority w:val="99"/>
    <w:unhideWhenUsed/>
    <w:rsid w:val="00BD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FD"/>
  </w:style>
  <w:style w:type="paragraph" w:styleId="BalloonText">
    <w:name w:val="Balloon Text"/>
    <w:basedOn w:val="Normal"/>
    <w:link w:val="BalloonTextChar"/>
    <w:uiPriority w:val="99"/>
    <w:semiHidden/>
    <w:unhideWhenUsed/>
    <w:rsid w:val="00BD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4A71-9C0D-4EBE-8859-B607258F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Gagnon, Sylvain (EDU)</dc:creator>
  <cp:lastModifiedBy>Josee Boutin</cp:lastModifiedBy>
  <cp:revision>2</cp:revision>
  <cp:lastPrinted>2016-09-28T18:46:00Z</cp:lastPrinted>
  <dcterms:created xsi:type="dcterms:W3CDTF">2017-10-19T17:52:00Z</dcterms:created>
  <dcterms:modified xsi:type="dcterms:W3CDTF">2017-10-19T17:52:00Z</dcterms:modified>
</cp:coreProperties>
</file>